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B92E0C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1F6CF4">
        <w:rPr>
          <w:rFonts w:ascii="Liberation Serif" w:eastAsia="Times New Roman" w:hAnsi="Liberation Serif" w:cs="Liberation Serif"/>
        </w:rPr>
        <w:t>Походилово, ВЛ-10 кВ ф. Ленинский,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66:12:0000000:3908</w:t>
            </w:r>
          </w:p>
        </w:tc>
        <w:tc>
          <w:tcPr>
            <w:tcW w:w="5210" w:type="dxa"/>
          </w:tcPr>
          <w:p w:rsidR="00310FE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р-н. Каменский, ВЛ-10 кВ Ф. Ленинский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66:12:0000000:3966</w:t>
            </w:r>
          </w:p>
        </w:tc>
        <w:tc>
          <w:tcPr>
            <w:tcW w:w="5210" w:type="dxa"/>
          </w:tcPr>
          <w:p w:rsidR="001B1D66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район, с. Сосновское, под опорами ЛЭП ВЛ-10 кВ ф. Ленинский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66:12:0000000:3973</w:t>
            </w:r>
          </w:p>
        </w:tc>
        <w:tc>
          <w:tcPr>
            <w:tcW w:w="5210" w:type="dxa"/>
          </w:tcPr>
          <w:p w:rsidR="001B1D66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район, ВЛ-10 кВ ф. Озерный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66:12:0000000:149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66:12:0000000:38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автодорога Подъезд к центральной усадьбе совхоза Сосновский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66:12:0000000:70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автодорога подъезд к центральной усадьбе совхоза Сосновский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66:12:3201003:93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Комсомольская, дом 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66:12:3201003:94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Комсомольская, дом 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66:12:3201003:95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Комсомольская, дом 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66:12:3201004:11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8-1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66:12:3201004:153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Кирова, дом 31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66:12:3201004:154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6, квартира 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22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66:12:3201004:160</w:t>
            </w:r>
          </w:p>
        </w:tc>
        <w:tc>
          <w:tcPr>
            <w:tcW w:w="5210" w:type="dxa"/>
          </w:tcPr>
          <w:p w:rsidR="00CA522A" w:rsidRPr="000367CE" w:rsidRDefault="00BA227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Кирова, дом 29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66:12:3201004:179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11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66:12:3201004:18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 xml:space="preserve">обл. Свердловская, р-н Каменский, с. </w:t>
            </w:r>
            <w:r>
              <w:lastRenderedPageBreak/>
              <w:t>Сосновское, ул. Мира, дом 3-3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16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66:12:3201004:181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район, с. Сосновское, ул. Мира, д. 7, кв. 3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66:12:3201004:182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с. Сосновское, ул. Мира, д. 7, кв. 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66:12:3201004:184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5, квартира 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66:12:3201004:185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3, квартира 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66:12:3201004:23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8-2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66:12:3201004:24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3-1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66:12:3201004:25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5-3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66:12:3201004:28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5-2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66:12:3201004:54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6-3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66:12:3201004:56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6-2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66:12:3201004:59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ТП 7698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1A5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66:12:3201004:65</w:t>
            </w:r>
          </w:p>
        </w:tc>
        <w:tc>
          <w:tcPr>
            <w:tcW w:w="5210" w:type="dxa"/>
          </w:tcPr>
          <w:p w:rsidR="00CA522A" w:rsidRPr="000367CE" w:rsidRDefault="00881A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Мира, дом 7, квартира 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66:12:3201005:13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Гагарина, дом 27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66:12:3201005:140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14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66:12:3201005:2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Российская Федерация, Свердловская область, Каменский район, с. Сосновское, ул. Комсомольская, 20Б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66:12:3201005:4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с. Сосновское, ул. Терешковой, д. 17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66:12:3201005:44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2а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66:12:3201005:48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12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66:12:3201005:54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15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66:12:3201005:55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Гагарина, дом 38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66:12:3201005:58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BA6FAB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66:12:3201005:64</w:t>
            </w:r>
          </w:p>
        </w:tc>
        <w:tc>
          <w:tcPr>
            <w:tcW w:w="5210" w:type="dxa"/>
          </w:tcPr>
          <w:p w:rsidR="00CA522A" w:rsidRPr="000367CE" w:rsidRDefault="00BA6FA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Сосновское, ул. Терешковой, дом 8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 66:12:</w:t>
      </w:r>
      <w:r w:rsidR="00BA6FAB">
        <w:rPr>
          <w:rFonts w:ascii="Liberation Serif" w:eastAsia="Times New Roman" w:hAnsi="Liberation Serif" w:cs="Liberation Serif"/>
        </w:rPr>
        <w:t>3201005, 66:12:3201004, 66:12:3201003.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 xml:space="preserve">лении публичного сервитута: Комитет по управлению муниципальным имуществом </w:t>
      </w:r>
      <w:r w:rsidRPr="0025620B">
        <w:rPr>
          <w:rFonts w:ascii="Liberation Serif" w:eastAsia="Times New Roman" w:hAnsi="Liberation Serif" w:cs="Liberation Serif"/>
        </w:rPr>
        <w:lastRenderedPageBreak/>
        <w:t>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sectPr w:rsidR="00D332A4" w:rsidRPr="0025620B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37C" w:rsidRDefault="00A2037C">
      <w:r>
        <w:separator/>
      </w:r>
    </w:p>
  </w:endnote>
  <w:endnote w:type="continuationSeparator" w:id="1">
    <w:p w:rsidR="00A2037C" w:rsidRDefault="00A20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37C" w:rsidRDefault="00A2037C">
      <w:r>
        <w:separator/>
      </w:r>
    </w:p>
  </w:footnote>
  <w:footnote w:type="continuationSeparator" w:id="1">
    <w:p w:rsidR="00A2037C" w:rsidRDefault="00A203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95A9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95A9F">
        <w:pPr>
          <w:pStyle w:val="a6"/>
          <w:jc w:val="center"/>
        </w:pPr>
        <w:fldSimple w:instr=" PAGE   \* MERGEFORMAT ">
          <w:r w:rsidR="00B92E0C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6CF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1A52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3310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037C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2E0C"/>
    <w:rsid w:val="00B94874"/>
    <w:rsid w:val="00B95EF1"/>
    <w:rsid w:val="00B97911"/>
    <w:rsid w:val="00B97CE4"/>
    <w:rsid w:val="00BA1D4F"/>
    <w:rsid w:val="00BA227E"/>
    <w:rsid w:val="00BA498D"/>
    <w:rsid w:val="00BA6FAB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35E3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A9F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2020-06-30T04:40:00Z</cp:lastPrinted>
  <dcterms:created xsi:type="dcterms:W3CDTF">2020-07-02T10:41:00Z</dcterms:created>
  <dcterms:modified xsi:type="dcterms:W3CDTF">2020-07-02T10:41:00Z</dcterms:modified>
</cp:coreProperties>
</file>